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66" w:rsidRDefault="005A4005" w:rsidP="005A4005">
      <w:pPr>
        <w:spacing w:after="0" w:line="240" w:lineRule="auto"/>
        <w:jc w:val="center"/>
        <w:rPr>
          <w:b/>
          <w:sz w:val="28"/>
          <w:szCs w:val="28"/>
        </w:rPr>
      </w:pPr>
      <w:r w:rsidRPr="005A4005">
        <w:rPr>
          <w:b/>
          <w:sz w:val="28"/>
          <w:szCs w:val="28"/>
        </w:rPr>
        <w:t>CONSULTAS ANTE LA PLATAFORMA NACIONAL DE TRANSPARENCIA (PNT)</w:t>
      </w:r>
    </w:p>
    <w:p w:rsidR="005A4005" w:rsidRDefault="005A4005" w:rsidP="005A400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="-714" w:tblpY="3871"/>
        <w:tblW w:w="18581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7720"/>
        <w:gridCol w:w="1276"/>
        <w:gridCol w:w="8505"/>
      </w:tblGrid>
      <w:tr w:rsidR="005600C8" w:rsidRPr="00B721D2" w:rsidTr="005600C8">
        <w:tc>
          <w:tcPr>
            <w:tcW w:w="10076" w:type="dxa"/>
            <w:gridSpan w:val="4"/>
            <w:tcBorders>
              <w:right w:val="single" w:sz="4" w:space="0" w:color="auto"/>
            </w:tcBorders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ESTADÍSTICA DE SOLICITUDES DE ACCESO A LA INFORMACIÓN PÚBLICA PRESENTADAS ANTE LA UNIDAD DE TRANSPARENCIA DE LA ASEBC EN EL PERIODO QUE COMPRENDE DEL 1 DE ENERO AL 31 DE DICIEMBRE 2018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rPr>
          <w:trHeight w:val="70"/>
        </w:trPr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Número de solicitudes de acceso a la información pública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117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 xml:space="preserve">Sentido de la respuesta otorgada a las solicitudes de acceso a la información pública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Afirmativa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73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No competencia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25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No interpuesta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11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Afirmativa parcial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0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Negativa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0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Inexistencia de la información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0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Reservada / Reservada parcial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8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Incidencias del sistema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0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Número de solicitudes pendientes de otorgar respuesta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0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 xml:space="preserve">Número de impugnaciones a respuestas otorgadas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sz w:val="24"/>
                <w:szCs w:val="24"/>
              </w:rPr>
              <w:t>1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  <w:tr w:rsidR="005600C8" w:rsidRPr="00B721D2" w:rsidTr="005600C8">
        <w:tc>
          <w:tcPr>
            <w:tcW w:w="540" w:type="dxa"/>
            <w:shd w:val="clear" w:color="auto" w:fill="500000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EAAAA" w:themeFill="background2" w:themeFillShade="BF"/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  <w:tc>
          <w:tcPr>
            <w:tcW w:w="7720" w:type="dxa"/>
          </w:tcPr>
          <w:p w:rsidR="005600C8" w:rsidRPr="00B721D2" w:rsidRDefault="005600C8" w:rsidP="005600C8">
            <w:pPr>
              <w:spacing w:after="0" w:line="240" w:lineRule="auto"/>
              <w:jc w:val="both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Promedio de días hábiles requeridos para otorgar respuesta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b/>
                <w:sz w:val="24"/>
                <w:szCs w:val="24"/>
              </w:rPr>
            </w:pPr>
            <w:r w:rsidRPr="00B721D2">
              <w:rPr>
                <w:rFonts w:ascii="Century Gothic" w:hAnsi="Century Gothic" w:cs="Open Sans Light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0C8" w:rsidRPr="00B721D2" w:rsidRDefault="005600C8" w:rsidP="005600C8">
            <w:pPr>
              <w:spacing w:after="0" w:line="240" w:lineRule="auto"/>
              <w:jc w:val="center"/>
              <w:rPr>
                <w:rFonts w:ascii="Century Gothic" w:hAnsi="Century Gothic" w:cs="Open Sans Light"/>
                <w:sz w:val="24"/>
                <w:szCs w:val="24"/>
              </w:rPr>
            </w:pPr>
          </w:p>
        </w:tc>
      </w:tr>
    </w:tbl>
    <w:p w:rsidR="005600C8" w:rsidRDefault="005600C8" w:rsidP="005600C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5600C8" w:rsidRDefault="005600C8" w:rsidP="005A4005">
      <w:pPr>
        <w:spacing w:after="0" w:line="240" w:lineRule="auto"/>
        <w:jc w:val="center"/>
        <w:rPr>
          <w:b/>
          <w:sz w:val="28"/>
          <w:szCs w:val="28"/>
        </w:rPr>
      </w:pPr>
    </w:p>
    <w:p w:rsidR="00045314" w:rsidRDefault="00045314" w:rsidP="0004531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985"/>
        <w:gridCol w:w="1701"/>
        <w:gridCol w:w="2376"/>
      </w:tblGrid>
      <w:tr w:rsidR="00045314" w:rsidTr="00045314">
        <w:trPr>
          <w:trHeight w:val="646"/>
          <w:jc w:val="center"/>
        </w:trPr>
        <w:tc>
          <w:tcPr>
            <w:tcW w:w="959" w:type="dxa"/>
            <w:shd w:val="clear" w:color="auto" w:fill="5A2120"/>
            <w:vAlign w:val="center"/>
          </w:tcPr>
          <w:p w:rsidR="00045314" w:rsidRPr="003C0A0F" w:rsidRDefault="00045314" w:rsidP="00BA4F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5A2120"/>
            <w:vAlign w:val="center"/>
          </w:tcPr>
          <w:p w:rsidR="00045314" w:rsidRPr="003C0A0F" w:rsidRDefault="00045314" w:rsidP="00BA4F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EXPEDIENTE</w:t>
            </w:r>
          </w:p>
        </w:tc>
        <w:tc>
          <w:tcPr>
            <w:tcW w:w="1559" w:type="dxa"/>
            <w:shd w:val="clear" w:color="auto" w:fill="5A2120"/>
            <w:vAlign w:val="center"/>
          </w:tcPr>
          <w:p w:rsidR="00045314" w:rsidRPr="003C0A0F" w:rsidRDefault="00045314" w:rsidP="000453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DE  NOTIFICACI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Ó</w:t>
            </w: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</w:t>
            </w:r>
          </w:p>
        </w:tc>
        <w:tc>
          <w:tcPr>
            <w:tcW w:w="1985" w:type="dxa"/>
            <w:shd w:val="clear" w:color="auto" w:fill="5A2120"/>
            <w:vAlign w:val="center"/>
          </w:tcPr>
          <w:p w:rsidR="00045314" w:rsidRPr="003C0A0F" w:rsidRDefault="00045314" w:rsidP="000453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MATERIA DEL RECURSO O DENUNCIA</w:t>
            </w:r>
          </w:p>
        </w:tc>
        <w:tc>
          <w:tcPr>
            <w:tcW w:w="1701" w:type="dxa"/>
            <w:shd w:val="clear" w:color="auto" w:fill="5A2120"/>
            <w:vAlign w:val="center"/>
          </w:tcPr>
          <w:p w:rsidR="00045314" w:rsidRPr="003C0A0F" w:rsidRDefault="00045314" w:rsidP="00BA4F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ONTESTACIÓ</w:t>
            </w: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</w:t>
            </w:r>
          </w:p>
        </w:tc>
        <w:tc>
          <w:tcPr>
            <w:tcW w:w="2376" w:type="dxa"/>
            <w:shd w:val="clear" w:color="auto" w:fill="5A2120"/>
            <w:vAlign w:val="center"/>
          </w:tcPr>
          <w:p w:rsidR="00045314" w:rsidRPr="003C0A0F" w:rsidRDefault="00045314" w:rsidP="00BA4F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C0A0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OBSERVACIONES</w:t>
            </w:r>
          </w:p>
        </w:tc>
      </w:tr>
    </w:tbl>
    <w:p w:rsidR="00045314" w:rsidRPr="0040487C" w:rsidRDefault="00045314" w:rsidP="00045314">
      <w:pPr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es-ES"/>
        </w:rPr>
      </w:pPr>
    </w:p>
    <w:tbl>
      <w:tblPr>
        <w:tblStyle w:val="Tablaconcuadrcula"/>
        <w:tblW w:w="10156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985"/>
        <w:gridCol w:w="1701"/>
        <w:gridCol w:w="2364"/>
      </w:tblGrid>
      <w:tr w:rsidR="00045314" w:rsidTr="00045314">
        <w:trPr>
          <w:trHeight w:val="1625"/>
          <w:jc w:val="center"/>
        </w:trPr>
        <w:tc>
          <w:tcPr>
            <w:tcW w:w="988" w:type="dxa"/>
            <w:vAlign w:val="center"/>
          </w:tcPr>
          <w:p w:rsidR="00045314" w:rsidRPr="0040487C" w:rsidRDefault="00045314" w:rsidP="00BA4F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0487C">
              <w:rPr>
                <w:rFonts w:ascii="Arial" w:hAnsi="Arial" w:cs="Arial"/>
                <w:sz w:val="20"/>
                <w:szCs w:val="20"/>
              </w:rPr>
              <w:t>Recurso de Revisión</w:t>
            </w:r>
          </w:p>
        </w:tc>
        <w:tc>
          <w:tcPr>
            <w:tcW w:w="1559" w:type="dxa"/>
            <w:vAlign w:val="center"/>
          </w:tcPr>
          <w:p w:rsidR="00045314" w:rsidRPr="0040487C" w:rsidRDefault="00045314" w:rsidP="00BA4F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0487C">
              <w:rPr>
                <w:rFonts w:ascii="Arial" w:hAnsi="Arial" w:cs="Arial"/>
                <w:sz w:val="20"/>
                <w:szCs w:val="20"/>
              </w:rPr>
              <w:t>REV/071/2018</w:t>
            </w:r>
          </w:p>
        </w:tc>
        <w:tc>
          <w:tcPr>
            <w:tcW w:w="1559" w:type="dxa"/>
            <w:vAlign w:val="center"/>
          </w:tcPr>
          <w:p w:rsidR="00045314" w:rsidRPr="0040487C" w:rsidRDefault="00411020" w:rsidP="004110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45314" w:rsidRPr="0040487C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45314" w:rsidRPr="0040487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  <w:tc>
          <w:tcPr>
            <w:tcW w:w="1985" w:type="dxa"/>
            <w:vAlign w:val="center"/>
          </w:tcPr>
          <w:p w:rsidR="00045314" w:rsidRPr="0040487C" w:rsidRDefault="00045314" w:rsidP="000453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0487C">
              <w:rPr>
                <w:rFonts w:ascii="Arial" w:hAnsi="Arial" w:cs="Arial"/>
                <w:sz w:val="20"/>
                <w:szCs w:val="20"/>
              </w:rPr>
              <w:t>CONTRA RESPUESTA OTORGADA A SOLICITUD CON NO. DE FOLIO 00152318 PNT</w:t>
            </w:r>
          </w:p>
        </w:tc>
        <w:tc>
          <w:tcPr>
            <w:tcW w:w="1701" w:type="dxa"/>
            <w:vAlign w:val="center"/>
          </w:tcPr>
          <w:p w:rsidR="00045314" w:rsidRPr="0040487C" w:rsidRDefault="00045314" w:rsidP="00BA4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87C">
              <w:rPr>
                <w:rFonts w:ascii="Arial" w:hAnsi="Arial" w:cs="Arial"/>
                <w:sz w:val="20"/>
                <w:szCs w:val="20"/>
              </w:rPr>
              <w:t>DAJ/421/2018</w:t>
            </w:r>
          </w:p>
          <w:p w:rsidR="00045314" w:rsidRPr="0040487C" w:rsidRDefault="00045314" w:rsidP="00BA4F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0487C">
              <w:rPr>
                <w:rFonts w:ascii="Arial" w:hAnsi="Arial" w:cs="Arial"/>
                <w:sz w:val="20"/>
                <w:szCs w:val="20"/>
              </w:rPr>
              <w:t>23/04/2018</w:t>
            </w:r>
          </w:p>
        </w:tc>
        <w:tc>
          <w:tcPr>
            <w:tcW w:w="2364" w:type="dxa"/>
            <w:vAlign w:val="center"/>
          </w:tcPr>
          <w:p w:rsidR="00045314" w:rsidRPr="00411020" w:rsidRDefault="00411020" w:rsidP="00BA4F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11020">
              <w:rPr>
                <w:rFonts w:ascii="Century Gothic" w:eastAsia="MS Mincho" w:hAnsi="Century Gothic" w:cs="Courier New"/>
                <w:sz w:val="20"/>
                <w:szCs w:val="20"/>
              </w:rPr>
              <w:t>Mediante auto de fecha 01 de agosto de 2018, se dicta resolución mediante la cual, se CONFIRMA la respuesta otorgada por la ASEBC, al solicitante.</w:t>
            </w:r>
          </w:p>
        </w:tc>
      </w:tr>
    </w:tbl>
    <w:p w:rsidR="00045314" w:rsidRDefault="00045314"/>
    <w:sectPr w:rsidR="00045314" w:rsidSect="00045314">
      <w:headerReference w:type="default" r:id="rId6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2A" w:rsidRDefault="00317B2A" w:rsidP="00A85266">
      <w:pPr>
        <w:spacing w:after="0" w:line="240" w:lineRule="auto"/>
      </w:pPr>
      <w:r>
        <w:separator/>
      </w:r>
    </w:p>
  </w:endnote>
  <w:endnote w:type="continuationSeparator" w:id="0">
    <w:p w:rsidR="00317B2A" w:rsidRDefault="00317B2A" w:rsidP="00A8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2A" w:rsidRDefault="00317B2A" w:rsidP="00A85266">
      <w:pPr>
        <w:spacing w:after="0" w:line="240" w:lineRule="auto"/>
      </w:pPr>
      <w:r>
        <w:separator/>
      </w:r>
    </w:p>
  </w:footnote>
  <w:footnote w:type="continuationSeparator" w:id="0">
    <w:p w:rsidR="00317B2A" w:rsidRDefault="00317B2A" w:rsidP="00A8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66" w:rsidRDefault="00A85266">
    <w:pPr>
      <w:pStyle w:val="Encabezado"/>
    </w:pPr>
    <w:r>
      <w:rPr>
        <w:rFonts w:ascii="Verdana" w:hAnsi="Verdana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1F39A03E" wp14:editId="00C51B28">
          <wp:simplePos x="0" y="0"/>
          <wp:positionH relativeFrom="column">
            <wp:posOffset>-289560</wp:posOffset>
          </wp:positionH>
          <wp:positionV relativeFrom="paragraph">
            <wp:posOffset>-125730</wp:posOffset>
          </wp:positionV>
          <wp:extent cx="2409825" cy="119067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164" cy="1195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66"/>
    <w:rsid w:val="00045314"/>
    <w:rsid w:val="000479B1"/>
    <w:rsid w:val="000A79D9"/>
    <w:rsid w:val="001B6DE2"/>
    <w:rsid w:val="00240D38"/>
    <w:rsid w:val="00317B2A"/>
    <w:rsid w:val="003B0BAC"/>
    <w:rsid w:val="00402732"/>
    <w:rsid w:val="00407A75"/>
    <w:rsid w:val="00411020"/>
    <w:rsid w:val="00453450"/>
    <w:rsid w:val="005600C8"/>
    <w:rsid w:val="005A4005"/>
    <w:rsid w:val="0060364B"/>
    <w:rsid w:val="00775B9E"/>
    <w:rsid w:val="007933F6"/>
    <w:rsid w:val="00A02098"/>
    <w:rsid w:val="00A85266"/>
    <w:rsid w:val="00AC12CC"/>
    <w:rsid w:val="00AF2F7B"/>
    <w:rsid w:val="00B10E02"/>
    <w:rsid w:val="00B261C5"/>
    <w:rsid w:val="00B77FF8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5A00"/>
  <w15:chartTrackingRefBased/>
  <w15:docId w15:val="{47F0D921-45D6-4F6B-ABE2-98A3A44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5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266"/>
  </w:style>
  <w:style w:type="paragraph" w:styleId="Piedepgina">
    <w:name w:val="footer"/>
    <w:basedOn w:val="Normal"/>
    <w:link w:val="PiedepginaCar"/>
    <w:uiPriority w:val="99"/>
    <w:unhideWhenUsed/>
    <w:rsid w:val="00A852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66"/>
  </w:style>
  <w:style w:type="paragraph" w:styleId="Textodeglobo">
    <w:name w:val="Balloon Text"/>
    <w:basedOn w:val="Normal"/>
    <w:link w:val="TextodegloboCar"/>
    <w:uiPriority w:val="99"/>
    <w:semiHidden/>
    <w:unhideWhenUsed/>
    <w:rsid w:val="0077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Paola Cervantes Perez</dc:creator>
  <cp:keywords/>
  <dc:description/>
  <cp:lastModifiedBy>Karina Paola Cervantes Perez</cp:lastModifiedBy>
  <cp:revision>13</cp:revision>
  <cp:lastPrinted>2018-10-15T21:00:00Z</cp:lastPrinted>
  <dcterms:created xsi:type="dcterms:W3CDTF">2018-04-12T16:37:00Z</dcterms:created>
  <dcterms:modified xsi:type="dcterms:W3CDTF">2019-01-17T16:29:00Z</dcterms:modified>
</cp:coreProperties>
</file>